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B9" w:rsidRPr="00B96547" w:rsidRDefault="0075617F" w:rsidP="0083011E">
      <w:pPr>
        <w:tabs>
          <w:tab w:val="left" w:pos="6555"/>
        </w:tabs>
        <w:jc w:val="center"/>
        <w:textAlignment w:val="center"/>
        <w:rPr>
          <w:rFonts w:ascii="Georgia" w:eastAsia="Times New Roman" w:hAnsi="Georgia" w:cs="Arial"/>
          <w:b/>
          <w:i/>
          <w:sz w:val="24"/>
          <w:szCs w:val="24"/>
          <w:lang w:eastAsia="es-CO"/>
        </w:rPr>
      </w:pPr>
      <w:r w:rsidRPr="00B96547">
        <w:rPr>
          <w:rFonts w:ascii="Georgia" w:eastAsia="Times New Roman" w:hAnsi="Georgia" w:cs="Arial"/>
          <w:b/>
          <w:i/>
          <w:sz w:val="24"/>
          <w:szCs w:val="24"/>
          <w:lang w:eastAsia="es-CO"/>
        </w:rPr>
        <w:t xml:space="preserve">TEXTO APROBADO EN PRIMER DEBATE POR LA COMISIÓN TERCERA CONSTITUCIONAL PERMANENTE DE LA HONORABLE CÁMARA DE REPRESENTANTES, EN SESIÓN ORDINARIA DEL DÍA MARTES </w:t>
      </w:r>
      <w:r w:rsidR="001A14E1">
        <w:rPr>
          <w:rFonts w:ascii="Georgia" w:eastAsia="Times New Roman" w:hAnsi="Georgia" w:cs="Arial"/>
          <w:b/>
          <w:i/>
          <w:sz w:val="24"/>
          <w:szCs w:val="24"/>
          <w:lang w:eastAsia="es-CO"/>
        </w:rPr>
        <w:t>CINCO (5</w:t>
      </w:r>
      <w:r w:rsidRPr="00B96547">
        <w:rPr>
          <w:rFonts w:ascii="Georgia" w:eastAsia="Times New Roman" w:hAnsi="Georgia" w:cs="Arial"/>
          <w:b/>
          <w:i/>
          <w:sz w:val="24"/>
          <w:szCs w:val="24"/>
          <w:lang w:eastAsia="es-CO"/>
        </w:rPr>
        <w:t xml:space="preserve">) DE </w:t>
      </w:r>
      <w:r w:rsidR="001A14E1">
        <w:rPr>
          <w:rFonts w:ascii="Georgia" w:eastAsia="Times New Roman" w:hAnsi="Georgia" w:cs="Arial"/>
          <w:b/>
          <w:i/>
          <w:sz w:val="24"/>
          <w:szCs w:val="24"/>
          <w:lang w:eastAsia="es-CO"/>
        </w:rPr>
        <w:t>NOVIEMBRE</w:t>
      </w:r>
      <w:r w:rsidRPr="00B96547">
        <w:rPr>
          <w:rFonts w:ascii="Georgia" w:eastAsia="Times New Roman" w:hAnsi="Georgia" w:cs="Arial"/>
          <w:b/>
          <w:i/>
          <w:sz w:val="24"/>
          <w:szCs w:val="24"/>
          <w:lang w:eastAsia="es-CO"/>
        </w:rPr>
        <w:t xml:space="preserve"> DE DOS MIL DIECINUEVE (2019)</w:t>
      </w:r>
    </w:p>
    <w:p w:rsidR="006C3728" w:rsidRPr="00B96547" w:rsidRDefault="006C3728" w:rsidP="00067ED1">
      <w:pPr>
        <w:tabs>
          <w:tab w:val="left" w:pos="6555"/>
        </w:tabs>
        <w:jc w:val="center"/>
        <w:textAlignment w:val="center"/>
        <w:rPr>
          <w:rFonts w:ascii="Georgia" w:eastAsia="Times New Roman" w:hAnsi="Georgia" w:cs="Arial"/>
          <w:b/>
          <w:i/>
          <w:sz w:val="24"/>
          <w:szCs w:val="24"/>
          <w:lang w:eastAsia="es-CO"/>
        </w:rPr>
      </w:pPr>
    </w:p>
    <w:p w:rsidR="0075617F" w:rsidRPr="00B96547" w:rsidRDefault="0075617F" w:rsidP="00067ED1">
      <w:pPr>
        <w:tabs>
          <w:tab w:val="left" w:pos="6555"/>
        </w:tabs>
        <w:jc w:val="center"/>
        <w:textAlignment w:val="center"/>
        <w:rPr>
          <w:rFonts w:ascii="Georgia" w:eastAsia="Times New Roman" w:hAnsi="Georgia" w:cs="Arial"/>
          <w:b/>
          <w:i/>
          <w:sz w:val="24"/>
          <w:szCs w:val="24"/>
          <w:lang w:eastAsia="es-CO"/>
        </w:rPr>
      </w:pPr>
      <w:r w:rsidRPr="00B96547">
        <w:rPr>
          <w:rFonts w:ascii="Georgia" w:eastAsia="Times New Roman" w:hAnsi="Georgia" w:cs="Arial"/>
          <w:b/>
          <w:i/>
          <w:sz w:val="24"/>
          <w:szCs w:val="24"/>
          <w:lang w:eastAsia="es-CO"/>
        </w:rPr>
        <w:t>AL PROYECTO</w:t>
      </w:r>
      <w:bookmarkStart w:id="0" w:name="_GoBack"/>
      <w:bookmarkEnd w:id="0"/>
      <w:r w:rsidRPr="00B96547">
        <w:rPr>
          <w:rFonts w:ascii="Georgia" w:eastAsia="Times New Roman" w:hAnsi="Georgia" w:cs="Arial"/>
          <w:b/>
          <w:i/>
          <w:sz w:val="24"/>
          <w:szCs w:val="24"/>
          <w:lang w:eastAsia="es-CO"/>
        </w:rPr>
        <w:t xml:space="preserve"> DE LEY 407 DE 2019 CÁMARA</w:t>
      </w:r>
      <w:r w:rsidR="006C3728" w:rsidRPr="00B96547">
        <w:rPr>
          <w:rFonts w:ascii="Georgia" w:eastAsia="Times New Roman" w:hAnsi="Georgia" w:cs="Arial"/>
          <w:b/>
          <w:i/>
          <w:sz w:val="24"/>
          <w:szCs w:val="24"/>
          <w:lang w:eastAsia="es-CO"/>
        </w:rPr>
        <w:t xml:space="preserve"> – 054 DE 2018 SENADO</w:t>
      </w:r>
    </w:p>
    <w:p w:rsidR="006C3728" w:rsidRPr="00B96547" w:rsidRDefault="006C3728" w:rsidP="00067ED1">
      <w:pPr>
        <w:jc w:val="center"/>
        <w:rPr>
          <w:rFonts w:ascii="Georgia" w:eastAsia="Calibri" w:hAnsi="Georgia" w:cs="Arial"/>
          <w:i/>
          <w:sz w:val="24"/>
          <w:szCs w:val="24"/>
        </w:rPr>
      </w:pPr>
    </w:p>
    <w:p w:rsidR="009B7327" w:rsidRPr="00B96547" w:rsidRDefault="00AB289D" w:rsidP="00067ED1">
      <w:pPr>
        <w:jc w:val="center"/>
        <w:rPr>
          <w:rFonts w:ascii="Georgia" w:hAnsi="Georgia" w:cs="Arial"/>
          <w:b/>
          <w:i/>
          <w:sz w:val="24"/>
          <w:szCs w:val="24"/>
          <w:lang w:val="es-ES"/>
        </w:rPr>
      </w:pPr>
      <w:r w:rsidRPr="00B96547">
        <w:rPr>
          <w:rFonts w:ascii="Georgia" w:eastAsia="Calibri" w:hAnsi="Georgia" w:cs="Arial"/>
          <w:i/>
          <w:sz w:val="24"/>
          <w:szCs w:val="24"/>
        </w:rPr>
        <w:t>“</w:t>
      </w:r>
      <w:r w:rsidRPr="00B96547">
        <w:rPr>
          <w:rFonts w:ascii="Georgia" w:eastAsia="Calibri" w:hAnsi="Georgia" w:cs="Arial"/>
          <w:b/>
          <w:i/>
          <w:sz w:val="24"/>
          <w:szCs w:val="24"/>
        </w:rPr>
        <w:t>po</w:t>
      </w:r>
      <w:r w:rsidR="0075617F" w:rsidRPr="00B96547">
        <w:rPr>
          <w:rFonts w:ascii="Georgia" w:eastAsia="Calibri" w:hAnsi="Georgia" w:cs="Arial"/>
          <w:b/>
          <w:i/>
          <w:sz w:val="24"/>
          <w:szCs w:val="24"/>
        </w:rPr>
        <w:t xml:space="preserve">r medio de la cual se incluyen </w:t>
      </w:r>
      <w:r w:rsidRPr="00B96547">
        <w:rPr>
          <w:rFonts w:ascii="Georgia" w:eastAsia="Calibri" w:hAnsi="Georgia" w:cs="Arial"/>
          <w:b/>
          <w:i/>
          <w:sz w:val="24"/>
          <w:szCs w:val="24"/>
        </w:rPr>
        <w:t>sin costo adicional un paquete de productos y/o servicios financieros por el pago de la cuota de manejo de las tarjetas débito y crédito”</w:t>
      </w:r>
    </w:p>
    <w:p w:rsidR="00AB289D" w:rsidRPr="00B96547" w:rsidRDefault="00AB289D" w:rsidP="0083011E">
      <w:pPr>
        <w:jc w:val="center"/>
        <w:rPr>
          <w:rFonts w:ascii="Georgia" w:eastAsia="Calibri" w:hAnsi="Georgia" w:cs="Arial"/>
          <w:b/>
          <w:i/>
          <w:sz w:val="24"/>
          <w:szCs w:val="24"/>
        </w:rPr>
      </w:pPr>
    </w:p>
    <w:p w:rsidR="00742ED5" w:rsidRPr="00B96547" w:rsidRDefault="0075617F" w:rsidP="0083011E">
      <w:pPr>
        <w:jc w:val="center"/>
        <w:rPr>
          <w:rFonts w:ascii="Georgia" w:eastAsia="Calibri" w:hAnsi="Georgia" w:cs="Arial"/>
          <w:i/>
          <w:sz w:val="24"/>
          <w:szCs w:val="24"/>
        </w:rPr>
      </w:pPr>
      <w:r w:rsidRPr="00B96547">
        <w:rPr>
          <w:rFonts w:ascii="Georgia" w:eastAsia="Calibri" w:hAnsi="Georgia" w:cs="Arial"/>
          <w:i/>
          <w:sz w:val="24"/>
          <w:szCs w:val="24"/>
        </w:rPr>
        <w:t>El Congreso de la República de Colombia</w:t>
      </w:r>
    </w:p>
    <w:p w:rsidR="002B67B8" w:rsidRPr="00B96547" w:rsidRDefault="002B67B8" w:rsidP="0083011E">
      <w:pPr>
        <w:jc w:val="center"/>
        <w:rPr>
          <w:rFonts w:ascii="Georgia" w:eastAsia="Calibri" w:hAnsi="Georgia" w:cs="Arial"/>
          <w:b/>
          <w:i/>
          <w:sz w:val="24"/>
          <w:szCs w:val="24"/>
        </w:rPr>
      </w:pPr>
    </w:p>
    <w:p w:rsidR="002B67B8" w:rsidRPr="00B96547" w:rsidRDefault="00B53929" w:rsidP="0083011E">
      <w:pPr>
        <w:jc w:val="center"/>
        <w:rPr>
          <w:rFonts w:ascii="Georgia" w:eastAsia="Calibri" w:hAnsi="Georgia" w:cs="Arial"/>
          <w:b/>
          <w:i/>
          <w:sz w:val="24"/>
          <w:szCs w:val="24"/>
        </w:rPr>
      </w:pPr>
      <w:r w:rsidRPr="00B96547">
        <w:rPr>
          <w:rFonts w:ascii="Georgia" w:eastAsia="Calibri" w:hAnsi="Georgia" w:cs="Arial"/>
          <w:b/>
          <w:i/>
          <w:sz w:val="24"/>
          <w:szCs w:val="24"/>
        </w:rPr>
        <w:t>DECRETA</w:t>
      </w:r>
      <w:r w:rsidR="00AB289D" w:rsidRPr="00B96547">
        <w:rPr>
          <w:rFonts w:ascii="Georgia" w:eastAsia="Calibri" w:hAnsi="Georgia" w:cs="Arial"/>
          <w:b/>
          <w:i/>
          <w:sz w:val="24"/>
          <w:szCs w:val="24"/>
        </w:rPr>
        <w:t>:</w:t>
      </w:r>
    </w:p>
    <w:p w:rsidR="0070065E" w:rsidRPr="00B96547" w:rsidRDefault="0070065E" w:rsidP="00B96547">
      <w:pPr>
        <w:spacing w:after="0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b/>
          <w:i/>
          <w:sz w:val="24"/>
          <w:szCs w:val="24"/>
        </w:rPr>
        <w:t>Artículo 1</w:t>
      </w:r>
      <w:r w:rsidRPr="00B96547">
        <w:rPr>
          <w:rFonts w:ascii="Georgia" w:hAnsi="Georgia" w:cs="Arial"/>
          <w:i/>
          <w:sz w:val="24"/>
          <w:szCs w:val="24"/>
        </w:rPr>
        <w:t>°. Las entidades autorizadas para captar recursos del público que cobren cuotas de manejo por las cuentas de ahorros, las tarjetas débito y las tarjetas crédito, deberán garantizar mensualmente a sus usuarios el acceso a un paquete mínimo de productos y/o servicios sin costo adicional.</w:t>
      </w:r>
    </w:p>
    <w:p w:rsidR="00067ED1" w:rsidRPr="00B96547" w:rsidRDefault="00067ED1" w:rsidP="00B96547">
      <w:pPr>
        <w:spacing w:after="0"/>
        <w:jc w:val="both"/>
        <w:rPr>
          <w:rFonts w:ascii="Georgia" w:hAnsi="Georgia" w:cs="Arial"/>
          <w:b/>
          <w:i/>
          <w:sz w:val="24"/>
          <w:szCs w:val="24"/>
        </w:rPr>
      </w:pPr>
    </w:p>
    <w:p w:rsidR="0070065E" w:rsidRPr="00B96547" w:rsidRDefault="0070065E" w:rsidP="00B96547">
      <w:pPr>
        <w:spacing w:after="0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b/>
          <w:i/>
          <w:sz w:val="24"/>
          <w:szCs w:val="24"/>
        </w:rPr>
        <w:t xml:space="preserve">Parágrafo 1.  </w:t>
      </w:r>
      <w:r w:rsidRPr="00B96547">
        <w:rPr>
          <w:rFonts w:ascii="Georgia" w:hAnsi="Georgia" w:cs="Arial"/>
          <w:i/>
          <w:sz w:val="24"/>
          <w:szCs w:val="24"/>
        </w:rPr>
        <w:t xml:space="preserve">En el caso de las cuentas de ahorro, el paquete mínimo sin costo adicional al que hace </w:t>
      </w:r>
      <w:r w:rsidR="00126159" w:rsidRPr="00B96547">
        <w:rPr>
          <w:rFonts w:ascii="Georgia" w:hAnsi="Georgia" w:cs="Arial"/>
          <w:i/>
          <w:sz w:val="24"/>
          <w:szCs w:val="24"/>
        </w:rPr>
        <w:t>referencia el presente artículo</w:t>
      </w:r>
      <w:r w:rsidRPr="00B96547">
        <w:rPr>
          <w:rFonts w:ascii="Georgia" w:hAnsi="Georgia" w:cs="Arial"/>
          <w:i/>
          <w:sz w:val="24"/>
          <w:szCs w:val="24"/>
        </w:rPr>
        <w:t xml:space="preserve"> estará compuesto por el acceso a por lo menos tres de los siguientes productos y/o servicios:</w:t>
      </w:r>
    </w:p>
    <w:p w:rsidR="0070065E" w:rsidRPr="00B96547" w:rsidRDefault="0070065E" w:rsidP="00B96547">
      <w:pPr>
        <w:pStyle w:val="Prrafodelista"/>
        <w:spacing w:after="0"/>
        <w:jc w:val="both"/>
        <w:rPr>
          <w:rFonts w:ascii="Georgia" w:hAnsi="Georgia" w:cs="Arial"/>
          <w:i/>
          <w:sz w:val="24"/>
          <w:szCs w:val="24"/>
        </w:rPr>
      </w:pPr>
    </w:p>
    <w:p w:rsidR="0070065E" w:rsidRPr="00B96547" w:rsidRDefault="0070065E" w:rsidP="00B96547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Talonario o libreta para cuentas de ahorro.</w:t>
      </w:r>
    </w:p>
    <w:p w:rsidR="0070065E" w:rsidRPr="00B96547" w:rsidRDefault="00577DCA" w:rsidP="00B9654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Consignación nacional a través de oficinas o de cajeros automáticos de la red propia</w:t>
      </w:r>
    </w:p>
    <w:p w:rsidR="0070065E" w:rsidRPr="00B96547" w:rsidRDefault="0070065E" w:rsidP="00B9654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Retiro por ventanilla en una oficina diferente a la de radicación de la cuenta con talonario o libreta.</w:t>
      </w:r>
    </w:p>
    <w:p w:rsidR="0070065E" w:rsidRPr="00B96547" w:rsidRDefault="00577DCA" w:rsidP="00B9654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 xml:space="preserve">Copia de extracto en papel </w:t>
      </w:r>
      <w:r w:rsidRPr="008100DC">
        <w:rPr>
          <w:rFonts w:ascii="Georgia" w:hAnsi="Georgia" w:cs="Arial"/>
          <w:i/>
          <w:sz w:val="24"/>
          <w:szCs w:val="24"/>
        </w:rPr>
        <w:t>y por internet.</w:t>
      </w:r>
    </w:p>
    <w:p w:rsidR="0070065E" w:rsidRPr="00B96547" w:rsidRDefault="0070065E" w:rsidP="00B9654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Certificación bancaria.</w:t>
      </w:r>
    </w:p>
    <w:p w:rsidR="0070065E" w:rsidRPr="00B96547" w:rsidRDefault="00126159" w:rsidP="00B9654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Expedición cheque de gerencia</w:t>
      </w:r>
    </w:p>
    <w:p w:rsidR="00577DCA" w:rsidRPr="008B6494" w:rsidRDefault="00577DCA" w:rsidP="00B9654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8B6494">
        <w:rPr>
          <w:rFonts w:ascii="Georgia" w:hAnsi="Georgia" w:cs="Arial"/>
          <w:i/>
          <w:sz w:val="24"/>
          <w:szCs w:val="24"/>
        </w:rPr>
        <w:t>Transferencia por internet en cuenta</w:t>
      </w:r>
      <w:r w:rsidR="008B0677" w:rsidRPr="008B6494">
        <w:rPr>
          <w:rFonts w:ascii="Georgia" w:hAnsi="Georgia" w:cs="Arial"/>
          <w:i/>
          <w:sz w:val="24"/>
          <w:szCs w:val="24"/>
        </w:rPr>
        <w:t>s</w:t>
      </w:r>
      <w:r w:rsidR="008100DC">
        <w:rPr>
          <w:rFonts w:ascii="Georgia" w:hAnsi="Georgia" w:cs="Arial"/>
          <w:i/>
          <w:sz w:val="24"/>
          <w:szCs w:val="24"/>
        </w:rPr>
        <w:t xml:space="preserve"> de la misma entidad</w:t>
      </w:r>
      <w:r w:rsidRPr="008B6494">
        <w:rPr>
          <w:rFonts w:ascii="Georgia" w:hAnsi="Georgia" w:cs="Arial"/>
          <w:i/>
          <w:sz w:val="24"/>
          <w:szCs w:val="24"/>
        </w:rPr>
        <w:t>.</w:t>
      </w:r>
    </w:p>
    <w:p w:rsidR="0070065E" w:rsidRPr="008B6494" w:rsidRDefault="0070065E" w:rsidP="00B96547">
      <w:pPr>
        <w:spacing w:after="0"/>
        <w:jc w:val="both"/>
        <w:rPr>
          <w:rFonts w:ascii="Georgia" w:hAnsi="Georgia" w:cs="Arial"/>
          <w:i/>
          <w:sz w:val="24"/>
          <w:szCs w:val="24"/>
        </w:rPr>
      </w:pPr>
    </w:p>
    <w:p w:rsidR="0070065E" w:rsidRPr="00B96547" w:rsidRDefault="0070065E" w:rsidP="00B96547">
      <w:pPr>
        <w:spacing w:after="0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b/>
          <w:i/>
          <w:sz w:val="24"/>
          <w:szCs w:val="24"/>
        </w:rPr>
        <w:lastRenderedPageBreak/>
        <w:t xml:space="preserve">Parágrafo 2.  </w:t>
      </w:r>
      <w:r w:rsidR="00126159" w:rsidRPr="00B96547">
        <w:rPr>
          <w:rFonts w:ascii="Georgia" w:hAnsi="Georgia" w:cs="Arial"/>
          <w:i/>
          <w:sz w:val="24"/>
          <w:szCs w:val="24"/>
        </w:rPr>
        <w:t xml:space="preserve">En el caso de las </w:t>
      </w:r>
      <w:r w:rsidRPr="00B96547">
        <w:rPr>
          <w:rFonts w:ascii="Georgia" w:hAnsi="Georgia" w:cs="Arial"/>
          <w:i/>
          <w:sz w:val="24"/>
          <w:szCs w:val="24"/>
        </w:rPr>
        <w:t>tarjetas débito, el paquete mínimo sin costo adicional al que hace referencia el presente artículo, estará compuesto por el acceso a por lo menos tres de los siguientes productos y/o servicios:</w:t>
      </w:r>
    </w:p>
    <w:p w:rsidR="0070065E" w:rsidRPr="00B96547" w:rsidRDefault="0070065E" w:rsidP="00B96547">
      <w:pPr>
        <w:spacing w:after="0"/>
        <w:jc w:val="both"/>
        <w:rPr>
          <w:rFonts w:ascii="Georgia" w:hAnsi="Georgia" w:cs="Arial"/>
          <w:i/>
          <w:sz w:val="24"/>
          <w:szCs w:val="24"/>
        </w:rPr>
      </w:pPr>
    </w:p>
    <w:p w:rsidR="0070065E" w:rsidRPr="00B96547" w:rsidRDefault="0070065E" w:rsidP="00B96547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Retiros red propia.</w:t>
      </w:r>
    </w:p>
    <w:p w:rsidR="0070065E" w:rsidRPr="00B96547" w:rsidRDefault="00577DCA" w:rsidP="00B96547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En consultas en red propia</w:t>
      </w:r>
    </w:p>
    <w:p w:rsidR="008B0677" w:rsidRPr="00B96547" w:rsidRDefault="00577DCA" w:rsidP="00B96547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Certificación bancaria.</w:t>
      </w:r>
    </w:p>
    <w:p w:rsidR="00577DCA" w:rsidRPr="008B6494" w:rsidRDefault="00577DCA" w:rsidP="00B96547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 xml:space="preserve">Consignación nacional </w:t>
      </w:r>
      <w:r w:rsidR="00893D5F" w:rsidRPr="008B6494">
        <w:rPr>
          <w:rFonts w:ascii="Georgia" w:hAnsi="Georgia" w:cs="Arial"/>
          <w:i/>
          <w:sz w:val="24"/>
          <w:szCs w:val="24"/>
        </w:rPr>
        <w:t>a través de oficinas o de cajeros automáticos de la red propia.</w:t>
      </w:r>
    </w:p>
    <w:p w:rsidR="0070065E" w:rsidRPr="008B6494" w:rsidRDefault="00893D5F" w:rsidP="00B96547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  <w:r w:rsidRPr="008B6494">
        <w:rPr>
          <w:rFonts w:ascii="Georgia" w:hAnsi="Georgia" w:cs="Arial"/>
          <w:i/>
          <w:sz w:val="24"/>
          <w:szCs w:val="24"/>
        </w:rPr>
        <w:t>Consulta de extractos en internet</w:t>
      </w:r>
      <w:r w:rsidR="00B96547" w:rsidRPr="008B6494">
        <w:rPr>
          <w:rFonts w:ascii="Georgia" w:hAnsi="Georgia" w:cs="Arial"/>
          <w:i/>
          <w:sz w:val="24"/>
          <w:szCs w:val="24"/>
        </w:rPr>
        <w:t>.</w:t>
      </w:r>
    </w:p>
    <w:p w:rsidR="0070065E" w:rsidRPr="00B96547" w:rsidRDefault="0070065E" w:rsidP="00B96547">
      <w:pPr>
        <w:spacing w:after="0" w:line="240" w:lineRule="auto"/>
        <w:jc w:val="both"/>
        <w:rPr>
          <w:rFonts w:ascii="Georgia" w:hAnsi="Georgia" w:cs="Arial"/>
          <w:i/>
          <w:sz w:val="24"/>
          <w:szCs w:val="24"/>
        </w:rPr>
      </w:pPr>
    </w:p>
    <w:p w:rsidR="0070065E" w:rsidRPr="00B96547" w:rsidRDefault="0070065E" w:rsidP="00B96547">
      <w:pPr>
        <w:spacing w:after="0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b/>
          <w:i/>
          <w:sz w:val="24"/>
          <w:szCs w:val="24"/>
        </w:rPr>
        <w:t xml:space="preserve">Parágrafo 3.  </w:t>
      </w:r>
      <w:r w:rsidRPr="00B96547">
        <w:rPr>
          <w:rFonts w:ascii="Georgia" w:hAnsi="Georgia" w:cs="Arial"/>
          <w:i/>
          <w:sz w:val="24"/>
          <w:szCs w:val="24"/>
        </w:rPr>
        <w:t>En el caso de las de las tarjetas crédito, el paquete mínimo sin costo adicional al que hace referencia el presente artículo, estará compuesto por e</w:t>
      </w:r>
      <w:r w:rsidR="008B0677" w:rsidRPr="00B96547">
        <w:rPr>
          <w:rFonts w:ascii="Georgia" w:hAnsi="Georgia" w:cs="Arial"/>
          <w:i/>
          <w:sz w:val="24"/>
          <w:szCs w:val="24"/>
        </w:rPr>
        <w:t xml:space="preserve">l acceso a por lo menos tres de </w:t>
      </w:r>
      <w:r w:rsidRPr="00B96547">
        <w:rPr>
          <w:rFonts w:ascii="Georgia" w:hAnsi="Georgia" w:cs="Arial"/>
          <w:i/>
          <w:sz w:val="24"/>
          <w:szCs w:val="24"/>
        </w:rPr>
        <w:t>los siguientes productos y/o servicios:</w:t>
      </w:r>
    </w:p>
    <w:p w:rsidR="0070065E" w:rsidRPr="00B96547" w:rsidRDefault="0070065E" w:rsidP="0083011E">
      <w:pPr>
        <w:spacing w:after="0"/>
        <w:jc w:val="center"/>
        <w:rPr>
          <w:rFonts w:ascii="Georgia" w:hAnsi="Georgia" w:cs="Arial"/>
          <w:i/>
          <w:sz w:val="24"/>
          <w:szCs w:val="24"/>
        </w:rPr>
      </w:pPr>
    </w:p>
    <w:p w:rsidR="0070065E" w:rsidRPr="00B96547" w:rsidRDefault="0070065E" w:rsidP="00067ED1">
      <w:pPr>
        <w:pStyle w:val="Prrafodelista"/>
        <w:numPr>
          <w:ilvl w:val="0"/>
          <w:numId w:val="35"/>
        </w:numPr>
        <w:spacing w:after="0" w:line="240" w:lineRule="auto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Avance en cajero de otra entidad.</w:t>
      </w:r>
    </w:p>
    <w:p w:rsidR="0070065E" w:rsidRPr="00B96547" w:rsidRDefault="0070065E" w:rsidP="00067ED1">
      <w:pPr>
        <w:pStyle w:val="Prrafodelista"/>
        <w:numPr>
          <w:ilvl w:val="0"/>
          <w:numId w:val="35"/>
        </w:numPr>
        <w:spacing w:after="0" w:line="240" w:lineRule="auto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Avance en cajero de la misma entidad</w:t>
      </w:r>
    </w:p>
    <w:p w:rsidR="0070065E" w:rsidRPr="00B96547" w:rsidRDefault="0070065E" w:rsidP="00067ED1">
      <w:pPr>
        <w:pStyle w:val="Prrafodelista"/>
        <w:numPr>
          <w:ilvl w:val="0"/>
          <w:numId w:val="35"/>
        </w:numPr>
        <w:spacing w:after="0" w:line="240" w:lineRule="auto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Avance en oficina.</w:t>
      </w:r>
    </w:p>
    <w:p w:rsidR="0070065E" w:rsidRPr="00B96547" w:rsidRDefault="0070065E" w:rsidP="00067ED1">
      <w:pPr>
        <w:pStyle w:val="Prrafodelista"/>
        <w:numPr>
          <w:ilvl w:val="0"/>
          <w:numId w:val="35"/>
        </w:numPr>
        <w:spacing w:after="0" w:line="240" w:lineRule="auto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Consulta de saldo en cajero de la misma entidad.</w:t>
      </w:r>
    </w:p>
    <w:p w:rsidR="0070065E" w:rsidRPr="00B96547" w:rsidRDefault="0070065E" w:rsidP="00067ED1">
      <w:pPr>
        <w:pStyle w:val="Prrafodelista"/>
        <w:numPr>
          <w:ilvl w:val="0"/>
          <w:numId w:val="35"/>
        </w:numPr>
        <w:spacing w:after="0" w:line="240" w:lineRule="auto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i/>
          <w:sz w:val="24"/>
          <w:szCs w:val="24"/>
        </w:rPr>
        <w:t>Reposición por deterioro</w:t>
      </w:r>
    </w:p>
    <w:p w:rsidR="00385BB9" w:rsidRPr="00B96547" w:rsidRDefault="00385BB9" w:rsidP="0083011E">
      <w:pPr>
        <w:spacing w:after="0" w:line="240" w:lineRule="auto"/>
        <w:jc w:val="center"/>
        <w:rPr>
          <w:rFonts w:ascii="Georgia" w:hAnsi="Georgia" w:cs="Arial"/>
          <w:i/>
          <w:sz w:val="24"/>
          <w:szCs w:val="24"/>
        </w:rPr>
      </w:pPr>
    </w:p>
    <w:p w:rsidR="0070065E" w:rsidRPr="00B96547" w:rsidRDefault="0070065E" w:rsidP="00B96547">
      <w:pPr>
        <w:spacing w:after="0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b/>
          <w:i/>
          <w:sz w:val="24"/>
          <w:szCs w:val="24"/>
        </w:rPr>
        <w:t>Artículo 2°</w:t>
      </w:r>
      <w:r w:rsidRPr="00B96547">
        <w:rPr>
          <w:rFonts w:ascii="Georgia" w:hAnsi="Georgia" w:cs="Arial"/>
          <w:i/>
          <w:sz w:val="24"/>
          <w:szCs w:val="24"/>
        </w:rPr>
        <w:t xml:space="preserve">. </w:t>
      </w:r>
      <w:r w:rsidRPr="00B96547">
        <w:rPr>
          <w:rFonts w:ascii="Georgia" w:hAnsi="Georgia" w:cs="Arial"/>
          <w:b/>
          <w:i/>
          <w:sz w:val="24"/>
          <w:szCs w:val="24"/>
        </w:rPr>
        <w:t xml:space="preserve"> </w:t>
      </w:r>
      <w:r w:rsidRPr="00B96547">
        <w:rPr>
          <w:rFonts w:ascii="Georgia" w:hAnsi="Georgia" w:cs="Arial"/>
          <w:i/>
          <w:sz w:val="24"/>
          <w:szCs w:val="24"/>
        </w:rPr>
        <w:t xml:space="preserve">Las entidades autorizadas para captar recursos del público deberán informar a sus usuarios de manera clara y oportuna a través de todos sus canales de comunicación la composición del paquete mínimo </w:t>
      </w:r>
      <w:r w:rsidRPr="00B96547">
        <w:rPr>
          <w:rFonts w:ascii="Georgia" w:hAnsi="Georgia" w:cs="Arial"/>
          <w:i/>
          <w:sz w:val="24"/>
          <w:szCs w:val="24"/>
          <w:lang w:val="es-MX"/>
        </w:rPr>
        <w:t>de</w:t>
      </w:r>
      <w:r w:rsidRPr="00B96547">
        <w:rPr>
          <w:rFonts w:ascii="Georgia" w:hAnsi="Georgia" w:cs="Arial"/>
          <w:i/>
          <w:sz w:val="24"/>
          <w:szCs w:val="24"/>
        </w:rPr>
        <w:t xml:space="preserve"> productos y/o servicios</w:t>
      </w:r>
      <w:r w:rsidRPr="00B96547">
        <w:rPr>
          <w:rFonts w:ascii="Georgia" w:hAnsi="Georgia" w:cs="Arial"/>
          <w:i/>
          <w:sz w:val="24"/>
          <w:szCs w:val="24"/>
          <w:lang w:val="es-MX"/>
        </w:rPr>
        <w:t xml:space="preserve"> </w:t>
      </w:r>
      <w:r w:rsidRPr="00B96547">
        <w:rPr>
          <w:rFonts w:ascii="Georgia" w:hAnsi="Georgia" w:cs="Arial"/>
          <w:i/>
          <w:sz w:val="24"/>
          <w:szCs w:val="24"/>
        </w:rPr>
        <w:t>al que tendrán acceso sin costo adicional en el respectivo mes.</w:t>
      </w:r>
    </w:p>
    <w:p w:rsidR="0070065E" w:rsidRPr="00B96547" w:rsidRDefault="0070065E" w:rsidP="00B96547">
      <w:pPr>
        <w:spacing w:after="0"/>
        <w:jc w:val="both"/>
        <w:rPr>
          <w:rFonts w:ascii="Georgia" w:hAnsi="Georgia" w:cs="Arial"/>
          <w:i/>
          <w:sz w:val="24"/>
          <w:szCs w:val="24"/>
        </w:rPr>
      </w:pPr>
    </w:p>
    <w:p w:rsidR="00B96547" w:rsidRPr="00B96547" w:rsidRDefault="00B96547" w:rsidP="00B96547">
      <w:pPr>
        <w:spacing w:after="0"/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b/>
          <w:i/>
          <w:sz w:val="24"/>
          <w:szCs w:val="24"/>
        </w:rPr>
        <w:t>Artículo 3°.</w:t>
      </w:r>
      <w:r w:rsidRPr="00B96547">
        <w:rPr>
          <w:rFonts w:ascii="Georgia" w:hAnsi="Georgia" w:cs="Arial"/>
          <w:i/>
          <w:sz w:val="24"/>
          <w:szCs w:val="24"/>
        </w:rPr>
        <w:t xml:space="preserve"> En ningún caso los establecimientos de crédito podrán realizar cobros por las operaciones fallidas en cajeros electrónicos.</w:t>
      </w:r>
    </w:p>
    <w:p w:rsidR="00B96547" w:rsidRPr="00B96547" w:rsidRDefault="00B96547" w:rsidP="00B96547">
      <w:pPr>
        <w:spacing w:after="0"/>
        <w:jc w:val="both"/>
        <w:rPr>
          <w:rFonts w:ascii="Georgia" w:hAnsi="Georgia" w:cs="Arial"/>
          <w:i/>
          <w:sz w:val="24"/>
          <w:szCs w:val="24"/>
        </w:rPr>
      </w:pPr>
    </w:p>
    <w:p w:rsidR="00B96547" w:rsidRDefault="00B96547" w:rsidP="00B96547">
      <w:pPr>
        <w:jc w:val="both"/>
        <w:rPr>
          <w:rFonts w:ascii="Georgia" w:hAnsi="Georgia" w:cs="Arial"/>
          <w:i/>
          <w:sz w:val="24"/>
          <w:szCs w:val="24"/>
        </w:rPr>
      </w:pPr>
      <w:r w:rsidRPr="00B96547">
        <w:rPr>
          <w:rFonts w:ascii="Georgia" w:hAnsi="Georgia" w:cs="Arial"/>
          <w:b/>
          <w:i/>
          <w:sz w:val="24"/>
          <w:szCs w:val="24"/>
        </w:rPr>
        <w:t>Artículo 4°.</w:t>
      </w:r>
      <w:r w:rsidRPr="00B96547">
        <w:rPr>
          <w:rFonts w:ascii="Georgia" w:hAnsi="Georgia" w:cs="Arial"/>
          <w:i/>
          <w:sz w:val="24"/>
          <w:szCs w:val="24"/>
        </w:rPr>
        <w:t xml:space="preserve"> La presente ley regirá 6 meses a partir de su promulgación y deroga todas las disposiciones que le sean contrarias.</w:t>
      </w:r>
      <w:r w:rsidR="008100DC">
        <w:rPr>
          <w:rFonts w:ascii="Georgia" w:hAnsi="Georgia" w:cs="Arial"/>
          <w:i/>
          <w:sz w:val="24"/>
          <w:szCs w:val="24"/>
        </w:rPr>
        <w:t>/.</w:t>
      </w:r>
    </w:p>
    <w:p w:rsidR="008100DC" w:rsidRPr="00B96547" w:rsidRDefault="008100DC" w:rsidP="00B96547">
      <w:pPr>
        <w:jc w:val="both"/>
        <w:rPr>
          <w:rFonts w:ascii="Georgia" w:hAnsi="Georgia" w:cs="Arial"/>
          <w:i/>
          <w:sz w:val="24"/>
          <w:szCs w:val="24"/>
        </w:rPr>
      </w:pPr>
    </w:p>
    <w:p w:rsidR="0083011E" w:rsidRPr="00B96547" w:rsidRDefault="00CD2402" w:rsidP="00B96547">
      <w:pPr>
        <w:jc w:val="both"/>
        <w:rPr>
          <w:rFonts w:ascii="Georgia" w:eastAsia="Calibri" w:hAnsi="Georgia" w:cs="Arial"/>
          <w:i/>
          <w:sz w:val="24"/>
          <w:szCs w:val="24"/>
        </w:rPr>
      </w:pPr>
      <w:r w:rsidRPr="00B96547">
        <w:rPr>
          <w:rFonts w:ascii="Georgia" w:hAnsi="Georgia" w:cs="Arial"/>
          <w:b/>
          <w:i/>
          <w:sz w:val="24"/>
          <w:szCs w:val="24"/>
        </w:rPr>
        <w:t xml:space="preserve">CÁMARA DE </w:t>
      </w:r>
      <w:r w:rsidR="0007063F">
        <w:rPr>
          <w:rFonts w:ascii="Georgia" w:hAnsi="Georgia" w:cs="Arial"/>
          <w:b/>
          <w:i/>
          <w:sz w:val="24"/>
          <w:szCs w:val="24"/>
        </w:rPr>
        <w:t xml:space="preserve">REPRESENTANTES </w:t>
      </w:r>
      <w:r w:rsidRPr="00B96547">
        <w:rPr>
          <w:rFonts w:ascii="Georgia" w:hAnsi="Georgia" w:cs="Arial"/>
          <w:b/>
          <w:i/>
          <w:sz w:val="24"/>
          <w:szCs w:val="24"/>
        </w:rPr>
        <w:t xml:space="preserve">- COMISIÓN TERCERA CONSTITUCIONAL </w:t>
      </w:r>
      <w:r w:rsidR="0007063F">
        <w:rPr>
          <w:rFonts w:ascii="Georgia" w:hAnsi="Georgia" w:cs="Arial"/>
          <w:b/>
          <w:i/>
          <w:sz w:val="24"/>
          <w:szCs w:val="24"/>
        </w:rPr>
        <w:t>PERMANENTE</w:t>
      </w:r>
      <w:r w:rsidR="0007063F" w:rsidRPr="00B96547">
        <w:rPr>
          <w:rFonts w:ascii="Georgia" w:hAnsi="Georgia" w:cs="Arial"/>
          <w:b/>
          <w:i/>
          <w:sz w:val="24"/>
          <w:szCs w:val="24"/>
        </w:rPr>
        <w:t xml:space="preserve"> -</w:t>
      </w:r>
      <w:r w:rsidRPr="00B96547">
        <w:rPr>
          <w:rFonts w:ascii="Georgia" w:hAnsi="Georgia" w:cs="Arial"/>
          <w:b/>
          <w:i/>
          <w:sz w:val="24"/>
          <w:szCs w:val="24"/>
        </w:rPr>
        <w:t xml:space="preserve"> ASUNTOS ECONÓMICOS</w:t>
      </w:r>
      <w:r w:rsidRPr="00B96547">
        <w:rPr>
          <w:rFonts w:ascii="Georgia" w:hAnsi="Georgia" w:cs="Arial"/>
          <w:i/>
          <w:sz w:val="24"/>
          <w:szCs w:val="24"/>
        </w:rPr>
        <w:t xml:space="preserve">. Septiembre diecisiete (17) de dos mil diecinueve (2019).- En sesión de la fecha, fue aprobado en Primer Debate en los términos anteriores y con modificaciones, el Proyecto de Ley No. </w:t>
      </w:r>
      <w:r w:rsidR="0083011E" w:rsidRPr="00B96547">
        <w:rPr>
          <w:rFonts w:ascii="Georgia" w:hAnsi="Georgia" w:cs="Arial"/>
          <w:i/>
          <w:sz w:val="24"/>
          <w:szCs w:val="24"/>
        </w:rPr>
        <w:t xml:space="preserve">407 de 2019 Cámara – 054 de 2018 Senado  </w:t>
      </w:r>
      <w:r w:rsidR="0083011E" w:rsidRPr="00B96547">
        <w:rPr>
          <w:rFonts w:ascii="Georgia" w:eastAsia="Calibri" w:hAnsi="Georgia" w:cs="Arial"/>
          <w:i/>
          <w:sz w:val="24"/>
          <w:szCs w:val="24"/>
        </w:rPr>
        <w:t>“</w:t>
      </w:r>
      <w:r w:rsidR="0083011E" w:rsidRPr="00B96547">
        <w:rPr>
          <w:rFonts w:ascii="Georgia" w:eastAsia="Calibri" w:hAnsi="Georgia" w:cs="Arial"/>
          <w:b/>
          <w:i/>
          <w:sz w:val="24"/>
          <w:szCs w:val="24"/>
        </w:rPr>
        <w:t xml:space="preserve">POR MEDIO DE LA CUAL SE INCLUYEN SIN COSTO ADICIONAL UN PAQUETE DE PRODUCTOS Y/O </w:t>
      </w:r>
      <w:r w:rsidR="0083011E" w:rsidRPr="00B96547">
        <w:rPr>
          <w:rFonts w:ascii="Georgia" w:eastAsia="Calibri" w:hAnsi="Georgia" w:cs="Arial"/>
          <w:b/>
          <w:i/>
          <w:sz w:val="24"/>
          <w:szCs w:val="24"/>
        </w:rPr>
        <w:lastRenderedPageBreak/>
        <w:t>SERVICIOS FINANCIEROS POR EL PAGO DE LA CUOTA DE MANEJO DE LAS TARJETAS DÉBITO Y CRÉDITO</w:t>
      </w:r>
      <w:r w:rsidR="0083011E" w:rsidRPr="00B96547">
        <w:rPr>
          <w:rFonts w:ascii="Georgia" w:eastAsia="Calibri" w:hAnsi="Georgia" w:cs="Arial"/>
          <w:i/>
          <w:sz w:val="24"/>
          <w:szCs w:val="24"/>
        </w:rPr>
        <w:t>”, previ</w:t>
      </w:r>
      <w:r w:rsidR="00D64F7A">
        <w:rPr>
          <w:rFonts w:ascii="Georgia" w:eastAsia="Calibri" w:hAnsi="Georgia" w:cs="Arial"/>
          <w:i/>
          <w:sz w:val="24"/>
          <w:szCs w:val="24"/>
        </w:rPr>
        <w:t xml:space="preserve">o anuncio de su votación en </w:t>
      </w:r>
      <w:r w:rsidR="000D7D80" w:rsidRPr="00B96547">
        <w:rPr>
          <w:rFonts w:ascii="Georgia" w:eastAsia="Calibri" w:hAnsi="Georgia" w:cs="Arial"/>
          <w:i/>
          <w:sz w:val="24"/>
          <w:szCs w:val="24"/>
        </w:rPr>
        <w:t xml:space="preserve"> </w:t>
      </w:r>
      <w:r w:rsidR="0083011E" w:rsidRPr="00B96547">
        <w:rPr>
          <w:rFonts w:ascii="Georgia" w:eastAsia="Calibri" w:hAnsi="Georgia" w:cs="Arial"/>
          <w:i/>
          <w:sz w:val="24"/>
          <w:szCs w:val="24"/>
        </w:rPr>
        <w:t xml:space="preserve">Sesión </w:t>
      </w:r>
      <w:r w:rsidR="000D7D80" w:rsidRPr="00B96547">
        <w:rPr>
          <w:rFonts w:ascii="Georgia" w:eastAsia="Calibri" w:hAnsi="Georgia" w:cs="Arial"/>
          <w:i/>
          <w:sz w:val="24"/>
          <w:szCs w:val="24"/>
        </w:rPr>
        <w:t>de las Comisiones Económicas Conjuntas del 11 de septiembre de 2019,</w:t>
      </w:r>
      <w:r w:rsidR="0083011E" w:rsidRPr="00B96547">
        <w:rPr>
          <w:rFonts w:ascii="Georgia" w:eastAsia="Calibri" w:hAnsi="Georgia" w:cs="Arial"/>
          <w:i/>
          <w:sz w:val="24"/>
          <w:szCs w:val="24"/>
        </w:rPr>
        <w:t xml:space="preserve"> en cumplimiento al artículo 8º.</w:t>
      </w:r>
      <w:r w:rsidR="001D09FF" w:rsidRPr="00B96547">
        <w:rPr>
          <w:rFonts w:ascii="Georgia" w:eastAsia="Calibri" w:hAnsi="Georgia" w:cs="Arial"/>
          <w:i/>
          <w:sz w:val="24"/>
          <w:szCs w:val="24"/>
        </w:rPr>
        <w:t xml:space="preserve"> d</w:t>
      </w:r>
      <w:r w:rsidR="0083011E" w:rsidRPr="00B96547">
        <w:rPr>
          <w:rFonts w:ascii="Georgia" w:eastAsia="Calibri" w:hAnsi="Georgia" w:cs="Arial"/>
          <w:i/>
          <w:sz w:val="24"/>
          <w:szCs w:val="24"/>
        </w:rPr>
        <w:t>el Acto Legislativo 01 de 2003.</w:t>
      </w:r>
    </w:p>
    <w:p w:rsidR="0083011E" w:rsidRPr="00B96547" w:rsidRDefault="0083011E" w:rsidP="00B96547">
      <w:pPr>
        <w:jc w:val="both"/>
        <w:rPr>
          <w:rFonts w:ascii="Georgia" w:eastAsia="Calibri" w:hAnsi="Georgia" w:cs="Arial"/>
          <w:i/>
          <w:sz w:val="24"/>
          <w:szCs w:val="24"/>
        </w:rPr>
      </w:pPr>
      <w:r w:rsidRPr="00B96547">
        <w:rPr>
          <w:rFonts w:ascii="Georgia" w:eastAsia="Calibri" w:hAnsi="Georgia" w:cs="Arial"/>
          <w:i/>
          <w:sz w:val="24"/>
          <w:szCs w:val="24"/>
        </w:rPr>
        <w:t>Lo anterior con el fin de que el citado Proyecto de ley siga su curso legal en Segundo Debate en la Plenaria de la Cámara de Representantes.</w:t>
      </w:r>
      <w:r w:rsidR="008100DC">
        <w:rPr>
          <w:rFonts w:ascii="Georgia" w:eastAsia="Calibri" w:hAnsi="Georgia" w:cs="Arial"/>
          <w:i/>
          <w:sz w:val="24"/>
          <w:szCs w:val="24"/>
        </w:rPr>
        <w:t>/.</w:t>
      </w:r>
    </w:p>
    <w:p w:rsidR="0083011E" w:rsidRDefault="0083011E" w:rsidP="0083011E">
      <w:pPr>
        <w:jc w:val="center"/>
        <w:rPr>
          <w:rFonts w:ascii="Georgia" w:eastAsia="Calibri" w:hAnsi="Georgia" w:cs="Arial"/>
          <w:i/>
          <w:sz w:val="24"/>
          <w:szCs w:val="24"/>
        </w:rPr>
      </w:pPr>
    </w:p>
    <w:p w:rsidR="009129C1" w:rsidRPr="00B96547" w:rsidRDefault="009129C1" w:rsidP="0083011E">
      <w:pPr>
        <w:jc w:val="center"/>
        <w:rPr>
          <w:rFonts w:ascii="Georgia" w:eastAsia="Calibri" w:hAnsi="Georgia" w:cs="Arial"/>
          <w:i/>
          <w:sz w:val="24"/>
          <w:szCs w:val="24"/>
        </w:rPr>
      </w:pPr>
    </w:p>
    <w:p w:rsidR="001D09FF" w:rsidRPr="00B96547" w:rsidRDefault="001D09FF" w:rsidP="0083011E">
      <w:pPr>
        <w:pStyle w:val="Sinespaciado"/>
        <w:jc w:val="center"/>
        <w:rPr>
          <w:rFonts w:ascii="Georgia" w:hAnsi="Georgia"/>
          <w:b/>
          <w:i/>
        </w:rPr>
      </w:pPr>
    </w:p>
    <w:p w:rsidR="0083011E" w:rsidRPr="00B96547" w:rsidRDefault="0083011E" w:rsidP="0083011E">
      <w:pPr>
        <w:pStyle w:val="Sinespaciado"/>
        <w:jc w:val="center"/>
        <w:rPr>
          <w:rFonts w:ascii="Georgia" w:hAnsi="Georgia"/>
          <w:b/>
          <w:i/>
        </w:rPr>
      </w:pPr>
      <w:r w:rsidRPr="00B96547">
        <w:rPr>
          <w:rFonts w:ascii="Georgia" w:hAnsi="Georgia"/>
          <w:b/>
          <w:i/>
        </w:rPr>
        <w:t>JOHN JAIRO ROLDAN AVENDAÑO</w:t>
      </w:r>
    </w:p>
    <w:p w:rsidR="0083011E" w:rsidRPr="00B96547" w:rsidRDefault="0083011E" w:rsidP="0083011E">
      <w:pPr>
        <w:pStyle w:val="Sinespaciado"/>
        <w:jc w:val="center"/>
        <w:rPr>
          <w:rFonts w:ascii="Georgia" w:hAnsi="Georgia"/>
          <w:i/>
        </w:rPr>
      </w:pPr>
      <w:r w:rsidRPr="00B96547">
        <w:rPr>
          <w:rFonts w:ascii="Georgia" w:hAnsi="Georgia"/>
          <w:i/>
        </w:rPr>
        <w:t>Presidente</w:t>
      </w:r>
    </w:p>
    <w:p w:rsidR="0083011E" w:rsidRPr="00B96547" w:rsidRDefault="0083011E" w:rsidP="0083011E">
      <w:pPr>
        <w:pStyle w:val="Sinespaciado"/>
        <w:jc w:val="center"/>
        <w:rPr>
          <w:rFonts w:ascii="Georgia" w:hAnsi="Georgia"/>
          <w:i/>
        </w:rPr>
      </w:pPr>
    </w:p>
    <w:p w:rsidR="008B0677" w:rsidRDefault="008B0677" w:rsidP="0083011E">
      <w:pPr>
        <w:pStyle w:val="Sinespaciado"/>
        <w:jc w:val="center"/>
        <w:rPr>
          <w:rFonts w:ascii="Georgia" w:hAnsi="Georgia"/>
          <w:i/>
        </w:rPr>
      </w:pPr>
    </w:p>
    <w:p w:rsidR="009129C1" w:rsidRPr="00B96547" w:rsidRDefault="009129C1" w:rsidP="0083011E">
      <w:pPr>
        <w:pStyle w:val="Sinespaciado"/>
        <w:jc w:val="center"/>
        <w:rPr>
          <w:rFonts w:ascii="Georgia" w:hAnsi="Georgia"/>
          <w:i/>
        </w:rPr>
      </w:pPr>
    </w:p>
    <w:p w:rsidR="008B0677" w:rsidRPr="00B96547" w:rsidRDefault="008B0677" w:rsidP="0083011E">
      <w:pPr>
        <w:pStyle w:val="Sinespaciado"/>
        <w:jc w:val="center"/>
        <w:rPr>
          <w:rFonts w:ascii="Georgia" w:hAnsi="Georgia"/>
          <w:i/>
        </w:rPr>
      </w:pPr>
    </w:p>
    <w:p w:rsidR="001D09FF" w:rsidRPr="00B96547" w:rsidRDefault="001D09FF" w:rsidP="0083011E">
      <w:pPr>
        <w:pStyle w:val="Sinespaciado"/>
        <w:jc w:val="center"/>
        <w:rPr>
          <w:rFonts w:ascii="Georgia" w:hAnsi="Georgia"/>
          <w:i/>
        </w:rPr>
      </w:pPr>
    </w:p>
    <w:p w:rsidR="001D09FF" w:rsidRPr="00B96547" w:rsidRDefault="001D09FF" w:rsidP="0083011E">
      <w:pPr>
        <w:pStyle w:val="Sinespaciado"/>
        <w:jc w:val="center"/>
        <w:rPr>
          <w:rFonts w:ascii="Georgia" w:hAnsi="Georgia"/>
          <w:i/>
        </w:rPr>
      </w:pPr>
    </w:p>
    <w:p w:rsidR="0083011E" w:rsidRPr="00B96547" w:rsidRDefault="0083011E" w:rsidP="0083011E">
      <w:pPr>
        <w:pStyle w:val="Sinespaciado"/>
        <w:jc w:val="center"/>
        <w:rPr>
          <w:rFonts w:ascii="Georgia" w:hAnsi="Georgia"/>
          <w:b/>
          <w:i/>
        </w:rPr>
      </w:pPr>
      <w:r w:rsidRPr="00B96547">
        <w:rPr>
          <w:rFonts w:ascii="Georgia" w:hAnsi="Georgia"/>
          <w:b/>
          <w:i/>
        </w:rPr>
        <w:t>ELIZABETH MARTINEZ BARRERA</w:t>
      </w:r>
    </w:p>
    <w:p w:rsidR="0083011E" w:rsidRPr="00B96547" w:rsidRDefault="0083011E" w:rsidP="0083011E">
      <w:pPr>
        <w:pStyle w:val="Sinespaciado"/>
        <w:jc w:val="center"/>
        <w:rPr>
          <w:rFonts w:ascii="Georgia" w:hAnsi="Georgia"/>
          <w:i/>
        </w:rPr>
      </w:pPr>
      <w:r w:rsidRPr="00B96547">
        <w:rPr>
          <w:rFonts w:ascii="Georgia" w:hAnsi="Georgia"/>
          <w:i/>
        </w:rPr>
        <w:t>Secretaria</w:t>
      </w:r>
    </w:p>
    <w:p w:rsidR="00CD2402" w:rsidRPr="00B96547" w:rsidRDefault="00CD2402" w:rsidP="0083011E">
      <w:pPr>
        <w:spacing w:after="0"/>
        <w:jc w:val="center"/>
        <w:rPr>
          <w:rFonts w:ascii="Georgia" w:hAnsi="Georgia" w:cs="Arial"/>
          <w:i/>
          <w:sz w:val="24"/>
          <w:szCs w:val="24"/>
        </w:rPr>
      </w:pPr>
    </w:p>
    <w:p w:rsidR="003D30B6" w:rsidRPr="00B96547" w:rsidRDefault="003D30B6" w:rsidP="0083011E">
      <w:pPr>
        <w:spacing w:after="0"/>
        <w:jc w:val="center"/>
        <w:rPr>
          <w:rFonts w:ascii="Georgia" w:hAnsi="Georgia" w:cs="Arial"/>
          <w:i/>
          <w:sz w:val="24"/>
          <w:szCs w:val="24"/>
        </w:rPr>
      </w:pPr>
    </w:p>
    <w:p w:rsidR="003307CD" w:rsidRPr="00B96547" w:rsidRDefault="003307CD" w:rsidP="0083011E">
      <w:pPr>
        <w:jc w:val="center"/>
        <w:textAlignment w:val="center"/>
        <w:rPr>
          <w:rFonts w:ascii="Georgia" w:hAnsi="Georgia" w:cs="Arial"/>
          <w:i/>
        </w:rPr>
      </w:pPr>
    </w:p>
    <w:p w:rsidR="003307CD" w:rsidRPr="00B96547" w:rsidRDefault="003307CD" w:rsidP="0083011E">
      <w:pPr>
        <w:tabs>
          <w:tab w:val="left" w:pos="6555"/>
        </w:tabs>
        <w:jc w:val="center"/>
        <w:textAlignment w:val="center"/>
        <w:rPr>
          <w:rFonts w:ascii="Georgia" w:eastAsia="Times New Roman" w:hAnsi="Georgia" w:cs="Arial"/>
          <w:i/>
          <w:iCs/>
          <w:lang w:eastAsia="es-CO"/>
        </w:rPr>
      </w:pPr>
    </w:p>
    <w:p w:rsidR="00CD2402" w:rsidRPr="00B96547" w:rsidRDefault="00CD2402" w:rsidP="0083011E">
      <w:pPr>
        <w:tabs>
          <w:tab w:val="left" w:pos="6555"/>
        </w:tabs>
        <w:jc w:val="center"/>
        <w:textAlignment w:val="center"/>
        <w:rPr>
          <w:rFonts w:ascii="Georgia" w:eastAsia="Times New Roman" w:hAnsi="Georgia" w:cs="Arial"/>
          <w:i/>
          <w:lang w:eastAsia="es-CO"/>
        </w:rPr>
      </w:pPr>
    </w:p>
    <w:p w:rsidR="00A82B53" w:rsidRPr="00B96547" w:rsidRDefault="00A82B53" w:rsidP="0083011E">
      <w:pPr>
        <w:spacing w:after="0"/>
        <w:jc w:val="center"/>
        <w:rPr>
          <w:rFonts w:ascii="Georgia" w:hAnsi="Georgia" w:cs="Arial"/>
          <w:i/>
        </w:rPr>
      </w:pPr>
    </w:p>
    <w:sectPr w:rsidR="00A82B53" w:rsidRPr="00B96547" w:rsidSect="00D05300">
      <w:headerReference w:type="default" r:id="rId8"/>
      <w:footerReference w:type="default" r:id="rId9"/>
      <w:pgSz w:w="12240" w:h="15840"/>
      <w:pgMar w:top="1304" w:right="1361" w:bottom="136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E8" w:rsidRDefault="001B79E8" w:rsidP="003A1695">
      <w:pPr>
        <w:spacing w:after="0" w:line="240" w:lineRule="auto"/>
      </w:pPr>
      <w:r>
        <w:separator/>
      </w:r>
    </w:p>
  </w:endnote>
  <w:endnote w:type="continuationSeparator" w:id="0">
    <w:p w:rsidR="001B79E8" w:rsidRDefault="001B79E8" w:rsidP="003A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8E" w:rsidRDefault="009D468E" w:rsidP="009D468E">
    <w:pPr>
      <w:pStyle w:val="Piedepgina"/>
      <w:pBdr>
        <w:bottom w:val="single" w:sz="12" w:space="1" w:color="auto"/>
      </w:pBdr>
    </w:pPr>
  </w:p>
  <w:p w:rsidR="009D468E" w:rsidRDefault="009D468E" w:rsidP="009D468E">
    <w:pPr>
      <w:pStyle w:val="Piedepgina"/>
      <w:jc w:val="center"/>
      <w:rPr>
        <w:rFonts w:ascii="Georgia" w:hAnsi="Georgia"/>
        <w:i/>
      </w:rPr>
    </w:pPr>
    <w:r>
      <w:rPr>
        <w:rFonts w:ascii="Georgia" w:hAnsi="Georgia"/>
        <w:i/>
      </w:rPr>
      <w:t>Secretaría Comisión Tercera. Texto aprobado en primer debate al P.L 407 de 2019C – 054 de 2018 S.</w:t>
    </w:r>
  </w:p>
  <w:p w:rsidR="009D468E" w:rsidRDefault="009D468E">
    <w:pPr>
      <w:pStyle w:val="Piedepgina"/>
    </w:pPr>
  </w:p>
  <w:p w:rsidR="00274E62" w:rsidRPr="00274E62" w:rsidRDefault="00274E62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E8" w:rsidRDefault="001B79E8" w:rsidP="003A1695">
      <w:pPr>
        <w:spacing w:after="0" w:line="240" w:lineRule="auto"/>
      </w:pPr>
      <w:r>
        <w:separator/>
      </w:r>
    </w:p>
  </w:footnote>
  <w:footnote w:type="continuationSeparator" w:id="0">
    <w:p w:rsidR="001B79E8" w:rsidRDefault="001B79E8" w:rsidP="003A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826AA2" w:rsidRDefault="00103D04" w:rsidP="00826AA2">
        <w:pPr>
          <w:pStyle w:val="Encabezado"/>
          <w:jc w:val="right"/>
          <w:rPr>
            <w:noProof/>
            <w:lang w:eastAsia="es-CO"/>
          </w:rPr>
        </w:pPr>
        <w:r>
          <w:t xml:space="preserve">                                          </w:t>
        </w:r>
      </w:p>
      <w:p w:rsidR="00826AA2" w:rsidRDefault="00826AA2" w:rsidP="00826AA2">
        <w:pPr>
          <w:pStyle w:val="Encabezado"/>
          <w:jc w:val="right"/>
          <w:rPr>
            <w:noProof/>
            <w:lang w:eastAsia="es-CO"/>
          </w:rPr>
        </w:pPr>
      </w:p>
      <w:p w:rsidR="00826AA2" w:rsidRDefault="00826AA2" w:rsidP="00826AA2">
        <w:pPr>
          <w:pStyle w:val="Encabezado"/>
          <w:jc w:val="right"/>
          <w:rPr>
            <w:noProof/>
            <w:lang w:eastAsia="es-CO"/>
          </w:rPr>
        </w:pPr>
      </w:p>
      <w:p w:rsidR="00826AA2" w:rsidRDefault="00826AA2" w:rsidP="00826AA2">
        <w:pPr>
          <w:pStyle w:val="Encabezado"/>
          <w:jc w:val="right"/>
        </w:pPr>
      </w:p>
      <w:p w:rsidR="00826AA2" w:rsidRDefault="00826AA2" w:rsidP="00826AA2">
        <w:pPr>
          <w:pStyle w:val="Encabezado"/>
          <w:jc w:val="right"/>
        </w:pPr>
      </w:p>
      <w:p w:rsidR="00103D04" w:rsidRDefault="00103D04" w:rsidP="00826AA2">
        <w:pPr>
          <w:pStyle w:val="Encabezado"/>
          <w:jc w:val="right"/>
        </w:pPr>
        <w:r>
          <w:t xml:space="preserve">                    </w:t>
        </w: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44B9C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44B9C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A1695" w:rsidRDefault="003A16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3EE"/>
    <w:multiLevelType w:val="hybridMultilevel"/>
    <w:tmpl w:val="E494BF66"/>
    <w:lvl w:ilvl="0" w:tplc="240A0013">
      <w:start w:val="1"/>
      <w:numFmt w:val="upp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AC08E7"/>
    <w:multiLevelType w:val="hybridMultilevel"/>
    <w:tmpl w:val="B3703FBE"/>
    <w:lvl w:ilvl="0" w:tplc="236064F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315C"/>
    <w:multiLevelType w:val="hybridMultilevel"/>
    <w:tmpl w:val="198439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003E"/>
    <w:multiLevelType w:val="hybridMultilevel"/>
    <w:tmpl w:val="D1C86DA2"/>
    <w:lvl w:ilvl="0" w:tplc="F0D6017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8324A"/>
    <w:multiLevelType w:val="hybridMultilevel"/>
    <w:tmpl w:val="B4FE23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A1052"/>
    <w:multiLevelType w:val="hybridMultilevel"/>
    <w:tmpl w:val="902EB7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6144"/>
    <w:multiLevelType w:val="hybridMultilevel"/>
    <w:tmpl w:val="FF7A8F20"/>
    <w:lvl w:ilvl="0" w:tplc="2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1148A"/>
    <w:multiLevelType w:val="hybridMultilevel"/>
    <w:tmpl w:val="79C26224"/>
    <w:lvl w:ilvl="0" w:tplc="0816A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61553"/>
    <w:multiLevelType w:val="hybridMultilevel"/>
    <w:tmpl w:val="C9A08E6E"/>
    <w:lvl w:ilvl="0" w:tplc="F0D60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664C"/>
    <w:multiLevelType w:val="hybridMultilevel"/>
    <w:tmpl w:val="9620D4D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61D87"/>
    <w:multiLevelType w:val="hybridMultilevel"/>
    <w:tmpl w:val="F454E0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B5A"/>
    <w:multiLevelType w:val="hybridMultilevel"/>
    <w:tmpl w:val="59A68D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481C"/>
    <w:multiLevelType w:val="multilevel"/>
    <w:tmpl w:val="2FAE7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C7D37AF"/>
    <w:multiLevelType w:val="hybridMultilevel"/>
    <w:tmpl w:val="2B1E9BD6"/>
    <w:lvl w:ilvl="0" w:tplc="1138EA9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0610"/>
    <w:multiLevelType w:val="hybridMultilevel"/>
    <w:tmpl w:val="58F2D730"/>
    <w:lvl w:ilvl="0" w:tplc="D7A46F76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93459"/>
    <w:multiLevelType w:val="hybridMultilevel"/>
    <w:tmpl w:val="3FE8199A"/>
    <w:lvl w:ilvl="0" w:tplc="A03CADFE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47CF3"/>
    <w:multiLevelType w:val="hybridMultilevel"/>
    <w:tmpl w:val="CE647DC2"/>
    <w:lvl w:ilvl="0" w:tplc="B9DCE4AE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B90D74"/>
    <w:multiLevelType w:val="multilevel"/>
    <w:tmpl w:val="7812D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A40350A"/>
    <w:multiLevelType w:val="hybridMultilevel"/>
    <w:tmpl w:val="F9B2DC4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D47D6"/>
    <w:multiLevelType w:val="hybridMultilevel"/>
    <w:tmpl w:val="D9D8DC38"/>
    <w:lvl w:ilvl="0" w:tplc="F0D60172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9" w:hanging="360"/>
      </w:pPr>
    </w:lvl>
    <w:lvl w:ilvl="2" w:tplc="240A001B" w:tentative="1">
      <w:start w:val="1"/>
      <w:numFmt w:val="lowerRoman"/>
      <w:lvlText w:val="%3."/>
      <w:lvlJc w:val="right"/>
      <w:pPr>
        <w:ind w:left="2149" w:hanging="180"/>
      </w:pPr>
    </w:lvl>
    <w:lvl w:ilvl="3" w:tplc="240A000F" w:tentative="1">
      <w:start w:val="1"/>
      <w:numFmt w:val="decimal"/>
      <w:lvlText w:val="%4."/>
      <w:lvlJc w:val="left"/>
      <w:pPr>
        <w:ind w:left="2869" w:hanging="360"/>
      </w:pPr>
    </w:lvl>
    <w:lvl w:ilvl="4" w:tplc="240A0019" w:tentative="1">
      <w:start w:val="1"/>
      <w:numFmt w:val="lowerLetter"/>
      <w:lvlText w:val="%5."/>
      <w:lvlJc w:val="left"/>
      <w:pPr>
        <w:ind w:left="3589" w:hanging="360"/>
      </w:pPr>
    </w:lvl>
    <w:lvl w:ilvl="5" w:tplc="240A001B" w:tentative="1">
      <w:start w:val="1"/>
      <w:numFmt w:val="lowerRoman"/>
      <w:lvlText w:val="%6."/>
      <w:lvlJc w:val="right"/>
      <w:pPr>
        <w:ind w:left="4309" w:hanging="180"/>
      </w:pPr>
    </w:lvl>
    <w:lvl w:ilvl="6" w:tplc="240A000F" w:tentative="1">
      <w:start w:val="1"/>
      <w:numFmt w:val="decimal"/>
      <w:lvlText w:val="%7."/>
      <w:lvlJc w:val="left"/>
      <w:pPr>
        <w:ind w:left="5029" w:hanging="360"/>
      </w:pPr>
    </w:lvl>
    <w:lvl w:ilvl="7" w:tplc="240A0019" w:tentative="1">
      <w:start w:val="1"/>
      <w:numFmt w:val="lowerLetter"/>
      <w:lvlText w:val="%8."/>
      <w:lvlJc w:val="left"/>
      <w:pPr>
        <w:ind w:left="5749" w:hanging="360"/>
      </w:pPr>
    </w:lvl>
    <w:lvl w:ilvl="8" w:tplc="24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500E6960"/>
    <w:multiLevelType w:val="hybridMultilevel"/>
    <w:tmpl w:val="B2E8FA64"/>
    <w:lvl w:ilvl="0" w:tplc="F0D601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E0BF2"/>
    <w:multiLevelType w:val="hybridMultilevel"/>
    <w:tmpl w:val="2A2A11F0"/>
    <w:lvl w:ilvl="0" w:tplc="6562E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91664"/>
    <w:multiLevelType w:val="hybridMultilevel"/>
    <w:tmpl w:val="A89E63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97856"/>
    <w:multiLevelType w:val="hybridMultilevel"/>
    <w:tmpl w:val="7DBE6AB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875A2"/>
    <w:multiLevelType w:val="hybridMultilevel"/>
    <w:tmpl w:val="302C64E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111B4"/>
    <w:multiLevelType w:val="hybridMultilevel"/>
    <w:tmpl w:val="D2886CA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70A4D"/>
    <w:multiLevelType w:val="hybridMultilevel"/>
    <w:tmpl w:val="3500AA6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85453"/>
    <w:multiLevelType w:val="hybridMultilevel"/>
    <w:tmpl w:val="2A9CFCFC"/>
    <w:lvl w:ilvl="0" w:tplc="F0D60172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9" w:hanging="360"/>
      </w:pPr>
    </w:lvl>
    <w:lvl w:ilvl="2" w:tplc="240A001B" w:tentative="1">
      <w:start w:val="1"/>
      <w:numFmt w:val="lowerRoman"/>
      <w:lvlText w:val="%3."/>
      <w:lvlJc w:val="right"/>
      <w:pPr>
        <w:ind w:left="2149" w:hanging="180"/>
      </w:pPr>
    </w:lvl>
    <w:lvl w:ilvl="3" w:tplc="240A000F" w:tentative="1">
      <w:start w:val="1"/>
      <w:numFmt w:val="decimal"/>
      <w:lvlText w:val="%4."/>
      <w:lvlJc w:val="left"/>
      <w:pPr>
        <w:ind w:left="2869" w:hanging="360"/>
      </w:pPr>
    </w:lvl>
    <w:lvl w:ilvl="4" w:tplc="240A0019" w:tentative="1">
      <w:start w:val="1"/>
      <w:numFmt w:val="lowerLetter"/>
      <w:lvlText w:val="%5."/>
      <w:lvlJc w:val="left"/>
      <w:pPr>
        <w:ind w:left="3589" w:hanging="360"/>
      </w:pPr>
    </w:lvl>
    <w:lvl w:ilvl="5" w:tplc="240A001B" w:tentative="1">
      <w:start w:val="1"/>
      <w:numFmt w:val="lowerRoman"/>
      <w:lvlText w:val="%6."/>
      <w:lvlJc w:val="right"/>
      <w:pPr>
        <w:ind w:left="4309" w:hanging="180"/>
      </w:pPr>
    </w:lvl>
    <w:lvl w:ilvl="6" w:tplc="240A000F" w:tentative="1">
      <w:start w:val="1"/>
      <w:numFmt w:val="decimal"/>
      <w:lvlText w:val="%7."/>
      <w:lvlJc w:val="left"/>
      <w:pPr>
        <w:ind w:left="5029" w:hanging="360"/>
      </w:pPr>
    </w:lvl>
    <w:lvl w:ilvl="7" w:tplc="240A0019" w:tentative="1">
      <w:start w:val="1"/>
      <w:numFmt w:val="lowerLetter"/>
      <w:lvlText w:val="%8."/>
      <w:lvlJc w:val="left"/>
      <w:pPr>
        <w:ind w:left="5749" w:hanging="360"/>
      </w:pPr>
    </w:lvl>
    <w:lvl w:ilvl="8" w:tplc="24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63312C07"/>
    <w:multiLevelType w:val="hybridMultilevel"/>
    <w:tmpl w:val="ABD6BB5E"/>
    <w:lvl w:ilvl="0" w:tplc="F0D60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B5E74"/>
    <w:multiLevelType w:val="hybridMultilevel"/>
    <w:tmpl w:val="95B024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F7B10"/>
    <w:multiLevelType w:val="hybridMultilevel"/>
    <w:tmpl w:val="AE101F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2481A"/>
    <w:multiLevelType w:val="hybridMultilevel"/>
    <w:tmpl w:val="69184966"/>
    <w:lvl w:ilvl="0" w:tplc="0816A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8608E"/>
    <w:multiLevelType w:val="hybridMultilevel"/>
    <w:tmpl w:val="E0A2581A"/>
    <w:lvl w:ilvl="0" w:tplc="F0D601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B2534"/>
    <w:multiLevelType w:val="hybridMultilevel"/>
    <w:tmpl w:val="FD30C2AA"/>
    <w:lvl w:ilvl="0" w:tplc="240A0015">
      <w:start w:val="1"/>
      <w:numFmt w:val="upperLetter"/>
      <w:lvlText w:val="%1."/>
      <w:lvlJc w:val="left"/>
      <w:pPr>
        <w:ind w:left="1789" w:hanging="360"/>
      </w:pPr>
    </w:lvl>
    <w:lvl w:ilvl="1" w:tplc="240A0019" w:tentative="1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2DB1DD7"/>
    <w:multiLevelType w:val="hybridMultilevel"/>
    <w:tmpl w:val="C8784584"/>
    <w:lvl w:ilvl="0" w:tplc="0DEC6DE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90CF5"/>
    <w:multiLevelType w:val="hybridMultilevel"/>
    <w:tmpl w:val="8A3A456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40EB7"/>
    <w:multiLevelType w:val="hybridMultilevel"/>
    <w:tmpl w:val="9146B5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77E90"/>
    <w:multiLevelType w:val="hybridMultilevel"/>
    <w:tmpl w:val="7E062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7"/>
  </w:num>
  <w:num w:numId="4">
    <w:abstractNumId w:val="12"/>
  </w:num>
  <w:num w:numId="5">
    <w:abstractNumId w:val="17"/>
  </w:num>
  <w:num w:numId="6">
    <w:abstractNumId w:val="4"/>
  </w:num>
  <w:num w:numId="7">
    <w:abstractNumId w:val="5"/>
  </w:num>
  <w:num w:numId="8">
    <w:abstractNumId w:val="16"/>
  </w:num>
  <w:num w:numId="9">
    <w:abstractNumId w:val="21"/>
  </w:num>
  <w:num w:numId="10">
    <w:abstractNumId w:val="31"/>
  </w:num>
  <w:num w:numId="11">
    <w:abstractNumId w:val="30"/>
  </w:num>
  <w:num w:numId="12">
    <w:abstractNumId w:val="8"/>
  </w:num>
  <w:num w:numId="13">
    <w:abstractNumId w:val="28"/>
  </w:num>
  <w:num w:numId="14">
    <w:abstractNumId w:val="19"/>
  </w:num>
  <w:num w:numId="15">
    <w:abstractNumId w:val="32"/>
  </w:num>
  <w:num w:numId="16">
    <w:abstractNumId w:val="3"/>
  </w:num>
  <w:num w:numId="17">
    <w:abstractNumId w:val="33"/>
  </w:num>
  <w:num w:numId="18">
    <w:abstractNumId w:val="26"/>
  </w:num>
  <w:num w:numId="19">
    <w:abstractNumId w:val="9"/>
  </w:num>
  <w:num w:numId="20">
    <w:abstractNumId w:val="20"/>
  </w:num>
  <w:num w:numId="21">
    <w:abstractNumId w:val="27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0"/>
  </w:num>
  <w:num w:numId="25">
    <w:abstractNumId w:val="23"/>
  </w:num>
  <w:num w:numId="26">
    <w:abstractNumId w:val="35"/>
  </w:num>
  <w:num w:numId="27">
    <w:abstractNumId w:val="25"/>
  </w:num>
  <w:num w:numId="28">
    <w:abstractNumId w:val="24"/>
  </w:num>
  <w:num w:numId="29">
    <w:abstractNumId w:val="36"/>
  </w:num>
  <w:num w:numId="30">
    <w:abstractNumId w:val="18"/>
  </w:num>
  <w:num w:numId="31">
    <w:abstractNumId w:val="10"/>
  </w:num>
  <w:num w:numId="32">
    <w:abstractNumId w:val="29"/>
  </w:num>
  <w:num w:numId="33">
    <w:abstractNumId w:val="15"/>
  </w:num>
  <w:num w:numId="34">
    <w:abstractNumId w:val="14"/>
  </w:num>
  <w:num w:numId="35">
    <w:abstractNumId w:val="13"/>
  </w:num>
  <w:num w:numId="36">
    <w:abstractNumId w:val="22"/>
  </w:num>
  <w:num w:numId="37">
    <w:abstractNumId w:val="1"/>
  </w:num>
  <w:num w:numId="38">
    <w:abstractNumId w:val="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95"/>
    <w:rsid w:val="00016360"/>
    <w:rsid w:val="00067ED1"/>
    <w:rsid w:val="0007027C"/>
    <w:rsid w:val="0007063F"/>
    <w:rsid w:val="00081C36"/>
    <w:rsid w:val="00085C6D"/>
    <w:rsid w:val="000A0642"/>
    <w:rsid w:val="000A513E"/>
    <w:rsid w:val="000D0BE6"/>
    <w:rsid w:val="000D7D80"/>
    <w:rsid w:val="000E4E40"/>
    <w:rsid w:val="000E6D10"/>
    <w:rsid w:val="00102092"/>
    <w:rsid w:val="00103D04"/>
    <w:rsid w:val="00116C04"/>
    <w:rsid w:val="00126159"/>
    <w:rsid w:val="00135C7F"/>
    <w:rsid w:val="00137FB1"/>
    <w:rsid w:val="0014497A"/>
    <w:rsid w:val="00147352"/>
    <w:rsid w:val="00163C96"/>
    <w:rsid w:val="001641AE"/>
    <w:rsid w:val="00174D2C"/>
    <w:rsid w:val="00186784"/>
    <w:rsid w:val="001909E0"/>
    <w:rsid w:val="001A14E1"/>
    <w:rsid w:val="001B3D01"/>
    <w:rsid w:val="001B79E8"/>
    <w:rsid w:val="001C2E77"/>
    <w:rsid w:val="001D09FF"/>
    <w:rsid w:val="001F0C8B"/>
    <w:rsid w:val="001F21E6"/>
    <w:rsid w:val="0021681F"/>
    <w:rsid w:val="00230311"/>
    <w:rsid w:val="002522E0"/>
    <w:rsid w:val="0025476F"/>
    <w:rsid w:val="00267AA1"/>
    <w:rsid w:val="00267F5F"/>
    <w:rsid w:val="00274E62"/>
    <w:rsid w:val="00282444"/>
    <w:rsid w:val="002B67B8"/>
    <w:rsid w:val="002C0262"/>
    <w:rsid w:val="002C3381"/>
    <w:rsid w:val="002D5424"/>
    <w:rsid w:val="002D76D2"/>
    <w:rsid w:val="0030667B"/>
    <w:rsid w:val="00306C4A"/>
    <w:rsid w:val="00314711"/>
    <w:rsid w:val="00321CB5"/>
    <w:rsid w:val="00330561"/>
    <w:rsid w:val="003307CD"/>
    <w:rsid w:val="00333C38"/>
    <w:rsid w:val="003366D2"/>
    <w:rsid w:val="00366F3D"/>
    <w:rsid w:val="00385BB9"/>
    <w:rsid w:val="00393FC0"/>
    <w:rsid w:val="003A1695"/>
    <w:rsid w:val="003A3FCE"/>
    <w:rsid w:val="003A7F37"/>
    <w:rsid w:val="003C3B23"/>
    <w:rsid w:val="003D30B6"/>
    <w:rsid w:val="003D4363"/>
    <w:rsid w:val="003D7518"/>
    <w:rsid w:val="003F751B"/>
    <w:rsid w:val="00412BD9"/>
    <w:rsid w:val="0044239E"/>
    <w:rsid w:val="00471D2B"/>
    <w:rsid w:val="004739B7"/>
    <w:rsid w:val="00480032"/>
    <w:rsid w:val="004826CB"/>
    <w:rsid w:val="00486AE5"/>
    <w:rsid w:val="00494422"/>
    <w:rsid w:val="004C27DA"/>
    <w:rsid w:val="004C56B9"/>
    <w:rsid w:val="004D7C8E"/>
    <w:rsid w:val="00511AE5"/>
    <w:rsid w:val="00541B68"/>
    <w:rsid w:val="0054585A"/>
    <w:rsid w:val="00577DCA"/>
    <w:rsid w:val="00580E75"/>
    <w:rsid w:val="005C14E6"/>
    <w:rsid w:val="005C1FB6"/>
    <w:rsid w:val="005D2270"/>
    <w:rsid w:val="005F5FB4"/>
    <w:rsid w:val="00616CAA"/>
    <w:rsid w:val="00624115"/>
    <w:rsid w:val="00635B97"/>
    <w:rsid w:val="0064560F"/>
    <w:rsid w:val="0064699F"/>
    <w:rsid w:val="00651D46"/>
    <w:rsid w:val="0065754B"/>
    <w:rsid w:val="006704C9"/>
    <w:rsid w:val="00672CB0"/>
    <w:rsid w:val="0067558D"/>
    <w:rsid w:val="00682B41"/>
    <w:rsid w:val="00687894"/>
    <w:rsid w:val="006B0134"/>
    <w:rsid w:val="006B71D7"/>
    <w:rsid w:val="006C3728"/>
    <w:rsid w:val="006C37AD"/>
    <w:rsid w:val="006D3706"/>
    <w:rsid w:val="0070065E"/>
    <w:rsid w:val="00714E77"/>
    <w:rsid w:val="00720009"/>
    <w:rsid w:val="00727984"/>
    <w:rsid w:val="007306FE"/>
    <w:rsid w:val="007379EF"/>
    <w:rsid w:val="00742ED5"/>
    <w:rsid w:val="00744D7F"/>
    <w:rsid w:val="0075617F"/>
    <w:rsid w:val="00776B36"/>
    <w:rsid w:val="007830D4"/>
    <w:rsid w:val="007918D8"/>
    <w:rsid w:val="007B7846"/>
    <w:rsid w:val="007E068D"/>
    <w:rsid w:val="007E353B"/>
    <w:rsid w:val="007E5559"/>
    <w:rsid w:val="007E7E43"/>
    <w:rsid w:val="007F5F84"/>
    <w:rsid w:val="007F781A"/>
    <w:rsid w:val="00802088"/>
    <w:rsid w:val="00802994"/>
    <w:rsid w:val="008100DC"/>
    <w:rsid w:val="0081307F"/>
    <w:rsid w:val="008147AC"/>
    <w:rsid w:val="00826AA2"/>
    <w:rsid w:val="0083011E"/>
    <w:rsid w:val="008450B1"/>
    <w:rsid w:val="0087264F"/>
    <w:rsid w:val="00877A0C"/>
    <w:rsid w:val="00891947"/>
    <w:rsid w:val="00893D5F"/>
    <w:rsid w:val="00894A35"/>
    <w:rsid w:val="008A5C33"/>
    <w:rsid w:val="008B0677"/>
    <w:rsid w:val="008B5EDB"/>
    <w:rsid w:val="008B6494"/>
    <w:rsid w:val="008C1BAF"/>
    <w:rsid w:val="008C43A8"/>
    <w:rsid w:val="008F73D0"/>
    <w:rsid w:val="009129C1"/>
    <w:rsid w:val="009323F1"/>
    <w:rsid w:val="009437EF"/>
    <w:rsid w:val="00945B16"/>
    <w:rsid w:val="00980117"/>
    <w:rsid w:val="00981947"/>
    <w:rsid w:val="00984C5B"/>
    <w:rsid w:val="009863E3"/>
    <w:rsid w:val="009B1C9E"/>
    <w:rsid w:val="009B7327"/>
    <w:rsid w:val="009C0BC8"/>
    <w:rsid w:val="009C1116"/>
    <w:rsid w:val="009D4637"/>
    <w:rsid w:val="009D468E"/>
    <w:rsid w:val="009E6C3C"/>
    <w:rsid w:val="009F4B94"/>
    <w:rsid w:val="009F680D"/>
    <w:rsid w:val="00A11565"/>
    <w:rsid w:val="00A2402E"/>
    <w:rsid w:val="00A322F3"/>
    <w:rsid w:val="00A40231"/>
    <w:rsid w:val="00A41D08"/>
    <w:rsid w:val="00A462D3"/>
    <w:rsid w:val="00A613A0"/>
    <w:rsid w:val="00A62DE2"/>
    <w:rsid w:val="00A676C3"/>
    <w:rsid w:val="00A73A25"/>
    <w:rsid w:val="00A77986"/>
    <w:rsid w:val="00A82B53"/>
    <w:rsid w:val="00AB289D"/>
    <w:rsid w:val="00AB7F65"/>
    <w:rsid w:val="00AD3870"/>
    <w:rsid w:val="00AE51BD"/>
    <w:rsid w:val="00AE6B42"/>
    <w:rsid w:val="00AF437A"/>
    <w:rsid w:val="00B2367F"/>
    <w:rsid w:val="00B33096"/>
    <w:rsid w:val="00B53929"/>
    <w:rsid w:val="00B74DD5"/>
    <w:rsid w:val="00B8726D"/>
    <w:rsid w:val="00B95041"/>
    <w:rsid w:val="00B96547"/>
    <w:rsid w:val="00BB1914"/>
    <w:rsid w:val="00BB6BA7"/>
    <w:rsid w:val="00BE3D5E"/>
    <w:rsid w:val="00BE5648"/>
    <w:rsid w:val="00BF41E6"/>
    <w:rsid w:val="00C01C66"/>
    <w:rsid w:val="00C161DB"/>
    <w:rsid w:val="00C2653E"/>
    <w:rsid w:val="00C4791B"/>
    <w:rsid w:val="00C54CE7"/>
    <w:rsid w:val="00C86E75"/>
    <w:rsid w:val="00C87D8B"/>
    <w:rsid w:val="00C94245"/>
    <w:rsid w:val="00C979A4"/>
    <w:rsid w:val="00CA1580"/>
    <w:rsid w:val="00CA76E2"/>
    <w:rsid w:val="00CB1511"/>
    <w:rsid w:val="00CD2402"/>
    <w:rsid w:val="00D033EC"/>
    <w:rsid w:val="00D05300"/>
    <w:rsid w:val="00D14BEB"/>
    <w:rsid w:val="00D27307"/>
    <w:rsid w:val="00D42751"/>
    <w:rsid w:val="00D44B9C"/>
    <w:rsid w:val="00D604EF"/>
    <w:rsid w:val="00D64F7A"/>
    <w:rsid w:val="00D8224C"/>
    <w:rsid w:val="00DA2EAC"/>
    <w:rsid w:val="00DB0DEF"/>
    <w:rsid w:val="00DC462A"/>
    <w:rsid w:val="00DC46F0"/>
    <w:rsid w:val="00DE01DA"/>
    <w:rsid w:val="00E14A7B"/>
    <w:rsid w:val="00E31DB9"/>
    <w:rsid w:val="00E34ACD"/>
    <w:rsid w:val="00E72966"/>
    <w:rsid w:val="00E81339"/>
    <w:rsid w:val="00EA36B3"/>
    <w:rsid w:val="00EC3C67"/>
    <w:rsid w:val="00ED6AA9"/>
    <w:rsid w:val="00EF40B4"/>
    <w:rsid w:val="00F16419"/>
    <w:rsid w:val="00F276D0"/>
    <w:rsid w:val="00F3091C"/>
    <w:rsid w:val="00F45045"/>
    <w:rsid w:val="00F542EA"/>
    <w:rsid w:val="00F56B46"/>
    <w:rsid w:val="00F64935"/>
    <w:rsid w:val="00F708E9"/>
    <w:rsid w:val="00F83012"/>
    <w:rsid w:val="00FB36B9"/>
    <w:rsid w:val="00FC44F0"/>
    <w:rsid w:val="00FD24A4"/>
    <w:rsid w:val="00FE2C90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AE284"/>
  <w15:chartTrackingRefBased/>
  <w15:docId w15:val="{4FAF3821-41C5-42C4-AED5-C5B6C7E1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E7"/>
  </w:style>
  <w:style w:type="paragraph" w:styleId="Ttulo1">
    <w:name w:val="heading 1"/>
    <w:basedOn w:val="Normal"/>
    <w:next w:val="Normal"/>
    <w:link w:val="Ttulo1Car"/>
    <w:qFormat/>
    <w:rsid w:val="009B732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Calibri" w:hAnsi="Times New Roman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695"/>
  </w:style>
  <w:style w:type="paragraph" w:styleId="Piedepgina">
    <w:name w:val="footer"/>
    <w:basedOn w:val="Normal"/>
    <w:link w:val="PiedepginaCar"/>
    <w:uiPriority w:val="99"/>
    <w:unhideWhenUsed/>
    <w:rsid w:val="003A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695"/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3A169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74E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B191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3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D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rsid w:val="009B7327"/>
    <w:rPr>
      <w:rFonts w:ascii="Times New Roman" w:eastAsia="Calibri" w:hAnsi="Times New Roman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11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116C04"/>
    <w:pPr>
      <w:spacing w:line="241" w:lineRule="atLeast"/>
    </w:pPr>
    <w:rPr>
      <w:color w:val="auto"/>
    </w:r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1641AE"/>
  </w:style>
  <w:style w:type="paragraph" w:styleId="Sinespaciado">
    <w:name w:val="No Spacing"/>
    <w:uiPriority w:val="1"/>
    <w:qFormat/>
    <w:rsid w:val="008450B1"/>
    <w:pPr>
      <w:spacing w:after="0" w:line="240" w:lineRule="auto"/>
    </w:pPr>
    <w:rPr>
      <w:rFonts w:ascii="Arial" w:eastAsia="Calibri" w:hAnsi="Arial" w:cs="Verdana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AF437A"/>
  </w:style>
  <w:style w:type="paragraph" w:styleId="Textonotapie">
    <w:name w:val="footnote text"/>
    <w:basedOn w:val="Normal"/>
    <w:link w:val="TextonotapieCar"/>
    <w:uiPriority w:val="99"/>
    <w:semiHidden/>
    <w:unhideWhenUsed/>
    <w:rsid w:val="000702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02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027C"/>
    <w:rPr>
      <w:vertAlign w:val="superscript"/>
    </w:rPr>
  </w:style>
  <w:style w:type="table" w:styleId="Tablaconcuadrcula">
    <w:name w:val="Table Grid"/>
    <w:basedOn w:val="Tablanormal"/>
    <w:uiPriority w:val="39"/>
    <w:rsid w:val="0033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2-nfasis61">
    <w:name w:val="Cuadrícula media 2 - Énfasis 61"/>
    <w:basedOn w:val="Tablanormal"/>
    <w:next w:val="Cuadrculamedia2-nfasis6"/>
    <w:uiPriority w:val="68"/>
    <w:rsid w:val="007E7E43"/>
    <w:pPr>
      <w:spacing w:after="0" w:line="240" w:lineRule="auto"/>
    </w:pPr>
    <w:rPr>
      <w:rFonts w:ascii="Cambria" w:eastAsia="SimSu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7E7E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153D-FF83-4760-BCDD-BED9C498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R villamizar meneses osca</dc:creator>
  <cp:keywords/>
  <dc:description/>
  <cp:lastModifiedBy>alix ardila</cp:lastModifiedBy>
  <cp:revision>3</cp:revision>
  <cp:lastPrinted>2019-09-18T22:28:00Z</cp:lastPrinted>
  <dcterms:created xsi:type="dcterms:W3CDTF">2019-10-01T21:49:00Z</dcterms:created>
  <dcterms:modified xsi:type="dcterms:W3CDTF">2019-11-12T21:44:00Z</dcterms:modified>
</cp:coreProperties>
</file>